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r w:rsidDel="00000000" w:rsidR="00000000" w:rsidRPr="00000000">
        <w:rPr>
          <w:rtl w:val="0"/>
        </w:rPr>
        <w:t xml:space="preserve">Daily Standup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Project: Loan Validation Project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Date: 10/17/2025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Sprint: 4 — Daily Standup 5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Duration: 1 hour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Attendees: Ernesto, Carlos, Luis, Chris, Miguel</w:t>
      </w:r>
    </w:p>
    <w:p w:rsidR="00000000" w:rsidDel="00000000" w:rsidP="00000000" w:rsidRDefault="00000000" w:rsidRPr="00000000" w14:paraId="00000007">
      <w:pPr>
        <w:pStyle w:val="Heading2"/>
        <w:rPr/>
      </w:pPr>
      <w:r w:rsidDel="00000000" w:rsidR="00000000" w:rsidRPr="00000000">
        <w:rPr>
          <w:rtl w:val="0"/>
        </w:rPr>
        <w:t xml:space="preserve">Agenda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- Track progress on MVP Phase 1 components (Library Ingestion, Log Analyzer, Auto-patch flow)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- Identify blockers and dependencies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- Align tasks for sprint progress and upcoming demos</w:t>
      </w:r>
    </w:p>
    <w:p w:rsidR="00000000" w:rsidDel="00000000" w:rsidP="00000000" w:rsidRDefault="00000000" w:rsidRPr="00000000" w14:paraId="0000000B">
      <w:pPr>
        <w:pStyle w:val="Heading2"/>
        <w:rPr/>
      </w:pPr>
      <w:r w:rsidDel="00000000" w:rsidR="00000000" w:rsidRPr="00000000">
        <w:rPr>
          <w:rtl w:val="0"/>
        </w:rPr>
        <w:t xml:space="preserve">Team Member Updates</w:t>
      </w:r>
    </w:p>
    <w:p w:rsidR="00000000" w:rsidDel="00000000" w:rsidP="00000000" w:rsidRDefault="00000000" w:rsidRPr="00000000" w14:paraId="0000000C">
      <w:pPr>
        <w:pStyle w:val="Heading3"/>
        <w:rPr/>
      </w:pPr>
      <w:r w:rsidDel="00000000" w:rsidR="00000000" w:rsidRPr="00000000">
        <w:rPr>
          <w:rtl w:val="0"/>
        </w:rPr>
        <w:t xml:space="preserve">Luis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 Benchmarked parser on large vendor doc set; average runtime: 4.5s/file.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- Started optimizing memory usage for larger PDF docs.</w:t>
      </w:r>
    </w:p>
    <w:p w:rsidR="00000000" w:rsidDel="00000000" w:rsidP="00000000" w:rsidRDefault="00000000" w:rsidRPr="00000000" w14:paraId="0000000F">
      <w:pPr>
        <w:pStyle w:val="Heading3"/>
        <w:rPr/>
      </w:pPr>
      <w:r w:rsidDel="00000000" w:rsidR="00000000" w:rsidRPr="00000000">
        <w:rPr>
          <w:rtl w:val="0"/>
        </w:rPr>
        <w:t xml:space="preserve">Carlos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- Enhanced analyzer to detect missing HAL function calls (e.g., HAL_UART_Init).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 Paired analyzer with ingestion to suggest register + HAL initialization together.</w:t>
      </w:r>
    </w:p>
    <w:p w:rsidR="00000000" w:rsidDel="00000000" w:rsidP="00000000" w:rsidRDefault="00000000" w:rsidRPr="00000000" w14:paraId="00000012">
      <w:pPr>
        <w:pStyle w:val="Heading3"/>
        <w:rPr/>
      </w:pPr>
      <w:r w:rsidDel="00000000" w:rsidR="00000000" w:rsidRPr="00000000">
        <w:rPr>
          <w:rtl w:val="0"/>
        </w:rPr>
        <w:t xml:space="preserve">Ernesto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 QA results: Programming Agent suggestions ~78% correct.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- False positives due to vendor variations not yet normalized.</w:t>
      </w:r>
    </w:p>
    <w:p w:rsidR="00000000" w:rsidDel="00000000" w:rsidP="00000000" w:rsidRDefault="00000000" w:rsidRPr="00000000" w14:paraId="00000015">
      <w:pPr>
        <w:pStyle w:val="Heading3"/>
        <w:rPr/>
      </w:pPr>
      <w:r w:rsidDel="00000000" w:rsidR="00000000" w:rsidRPr="00000000">
        <w:rPr>
          <w:rtl w:val="0"/>
        </w:rPr>
        <w:t xml:space="preserve">Chris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- Presented updated patch approval UX mockups (confidence score + preview + rollback).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 Working with Carlos to align analyzer output with UI.</w:t>
      </w:r>
    </w:p>
    <w:p w:rsidR="00000000" w:rsidDel="00000000" w:rsidP="00000000" w:rsidRDefault="00000000" w:rsidRPr="00000000" w14:paraId="00000018">
      <w:pPr>
        <w:pStyle w:val="Heading3"/>
        <w:rPr/>
      </w:pPr>
      <w:r w:rsidDel="00000000" w:rsidR="00000000" w:rsidRPr="00000000">
        <w:rPr>
          <w:rtl w:val="0"/>
        </w:rPr>
        <w:t xml:space="preserve">Miguel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 Added 20 STM32Cube projects into QA dataset.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- Tagged logs by error type for analyzer testing.</w:t>
      </w:r>
    </w:p>
    <w:p w:rsidR="00000000" w:rsidDel="00000000" w:rsidP="00000000" w:rsidRDefault="00000000" w:rsidRPr="00000000" w14:paraId="0000001B">
      <w:pPr>
        <w:pStyle w:val="Heading2"/>
        <w:rPr/>
      </w:pPr>
      <w:r w:rsidDel="00000000" w:rsidR="00000000" w:rsidRPr="00000000">
        <w:rPr>
          <w:rtl w:val="0"/>
        </w:rPr>
        <w:t xml:space="preserve">Blockers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- Vendor-specific variations still causing false positives.</w:t>
      </w:r>
    </w:p>
    <w:p w:rsidR="00000000" w:rsidDel="00000000" w:rsidP="00000000" w:rsidRDefault="00000000" w:rsidRPr="00000000" w14:paraId="0000001D">
      <w:pPr>
        <w:pStyle w:val="Heading2"/>
        <w:rPr/>
      </w:pPr>
      <w:r w:rsidDel="00000000" w:rsidR="00000000" w:rsidRPr="00000000">
        <w:rPr>
          <w:rtl w:val="0"/>
        </w:rPr>
        <w:t xml:space="preserve">Next Steps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- Luis to refine normalization logic.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- Ernesto to expand test coverage.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- Carlos to finish UI integration.</w:t>
      </w:r>
    </w:p>
    <w:sectPr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Header">
    <w:name w:val="header"/>
    <w:basedOn w:val="Normal"/>
    <w:link w:val="Head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7"/>
    </w:pPr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Spacing">
    <w:name w:val="No Spacing"/>
    <w:uiPriority w:val="1"/>
    <w:qFormat w:val="1"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 w:val="1"/>
    <w:rsid w:val="00FC693F"/>
    <w:pPr>
      <w:ind w:left="720"/>
      <w:contextualSpacing w:val="1"/>
    </w:pPr>
  </w:style>
  <w:style w:type="paragraph" w:styleId="BodyText">
    <w:name w:val="Body Text"/>
    <w:basedOn w:val="Normal"/>
    <w:link w:val="BodyTextChar"/>
    <w:uiPriority w:val="99"/>
    <w:unhideWhenUsed w:val="1"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 w:val="1"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 w:val="1"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 w:val="1"/>
    <w:rsid w:val="00AA1D8D"/>
    <w:pPr>
      <w:ind w:left="360" w:hanging="360"/>
      <w:contextualSpacing w:val="1"/>
    </w:pPr>
  </w:style>
  <w:style w:type="paragraph" w:styleId="List2">
    <w:name w:val="List 2"/>
    <w:basedOn w:val="Normal"/>
    <w:uiPriority w:val="99"/>
    <w:unhideWhenUsed w:val="1"/>
    <w:rsid w:val="00326F90"/>
    <w:pPr>
      <w:ind w:left="720" w:hanging="360"/>
      <w:contextualSpacing w:val="1"/>
    </w:pPr>
  </w:style>
  <w:style w:type="paragraph" w:styleId="List3">
    <w:name w:val="List 3"/>
    <w:basedOn w:val="Normal"/>
    <w:uiPriority w:val="99"/>
    <w:unhideWhenUsed w:val="1"/>
    <w:rsid w:val="00326F90"/>
    <w:pPr>
      <w:ind w:left="1080" w:hanging="360"/>
      <w:contextualSpacing w:val="1"/>
    </w:pPr>
  </w:style>
  <w:style w:type="paragraph" w:styleId="ListBullet">
    <w:name w:val="List Bullet"/>
    <w:basedOn w:val="Normal"/>
    <w:uiPriority w:val="99"/>
    <w:unhideWhenUsed w:val="1"/>
    <w:rsid w:val="00326F90"/>
    <w:pPr>
      <w:numPr>
        <w:numId w:val="1"/>
      </w:numPr>
      <w:contextualSpacing w:val="1"/>
    </w:pPr>
  </w:style>
  <w:style w:type="paragraph" w:styleId="ListBullet2">
    <w:name w:val="List Bullet 2"/>
    <w:basedOn w:val="Normal"/>
    <w:uiPriority w:val="99"/>
    <w:unhideWhenUsed w:val="1"/>
    <w:rsid w:val="00326F90"/>
    <w:pPr>
      <w:numPr>
        <w:numId w:val="2"/>
      </w:numPr>
      <w:contextualSpacing w:val="1"/>
    </w:pPr>
  </w:style>
  <w:style w:type="paragraph" w:styleId="ListBullet3">
    <w:name w:val="List Bullet 3"/>
    <w:basedOn w:val="Normal"/>
    <w:uiPriority w:val="99"/>
    <w:unhideWhenUsed w:val="1"/>
    <w:rsid w:val="00326F90"/>
    <w:pPr>
      <w:numPr>
        <w:numId w:val="3"/>
      </w:numPr>
      <w:contextualSpacing w:val="1"/>
    </w:pPr>
  </w:style>
  <w:style w:type="paragraph" w:styleId="ListNumber">
    <w:name w:val="List Number"/>
    <w:basedOn w:val="Normal"/>
    <w:uiPriority w:val="99"/>
    <w:unhideWhenUsed w:val="1"/>
    <w:rsid w:val="00326F90"/>
    <w:pPr>
      <w:numPr>
        <w:numId w:val="5"/>
      </w:numPr>
      <w:contextualSpacing w:val="1"/>
    </w:pPr>
  </w:style>
  <w:style w:type="paragraph" w:styleId="ListNumber2">
    <w:name w:val="List Number 2"/>
    <w:basedOn w:val="Normal"/>
    <w:uiPriority w:val="99"/>
    <w:unhideWhenUsed w:val="1"/>
    <w:rsid w:val="0029639D"/>
    <w:pPr>
      <w:numPr>
        <w:numId w:val="6"/>
      </w:numPr>
      <w:contextualSpacing w:val="1"/>
    </w:pPr>
  </w:style>
  <w:style w:type="paragraph" w:styleId="ListNumber3">
    <w:name w:val="List Number 3"/>
    <w:basedOn w:val="Normal"/>
    <w:uiPriority w:val="99"/>
    <w:unhideWhenUsed w:val="1"/>
    <w:rsid w:val="0029639D"/>
    <w:pPr>
      <w:numPr>
        <w:numId w:val="7"/>
      </w:numPr>
      <w:contextualSpacing w:val="1"/>
    </w:pPr>
  </w:style>
  <w:style w:type="paragraph" w:styleId="ListContinue">
    <w:name w:val="List Continue"/>
    <w:basedOn w:val="Normal"/>
    <w:uiPriority w:val="99"/>
    <w:unhideWhenUsed w:val="1"/>
    <w:rsid w:val="0029639D"/>
    <w:pPr>
      <w:spacing w:after="120"/>
      <w:ind w:left="360"/>
      <w:contextualSpacing w:val="1"/>
    </w:pPr>
  </w:style>
  <w:style w:type="paragraph" w:styleId="ListContinue2">
    <w:name w:val="List Continue 2"/>
    <w:basedOn w:val="Normal"/>
    <w:uiPriority w:val="99"/>
    <w:unhideWhenUsed w:val="1"/>
    <w:rsid w:val="0029639D"/>
    <w:pPr>
      <w:spacing w:after="120"/>
      <w:ind w:left="720"/>
      <w:contextualSpacing w:val="1"/>
    </w:pPr>
  </w:style>
  <w:style w:type="paragraph" w:styleId="ListContinue3">
    <w:name w:val="List Continue 3"/>
    <w:basedOn w:val="Normal"/>
    <w:uiPriority w:val="99"/>
    <w:unhideWhenUsed w:val="1"/>
    <w:rsid w:val="0029639D"/>
    <w:pPr>
      <w:spacing w:after="120"/>
      <w:ind w:left="1080"/>
      <w:contextualSpacing w:val="1"/>
    </w:pPr>
  </w:style>
  <w:style w:type="paragraph" w:styleId="MacroText">
    <w:name w:val="macro"/>
    <w:link w:val="MacroTextChar"/>
    <w:uiPriority w:val="99"/>
    <w:unhideWhenUsed w:val="1"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 w:val="1"/>
    <w:rsid w:val="00FC693F"/>
    <w:rPr>
      <w:i w:val="1"/>
      <w:iCs w:val="1"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 w:val="1"/>
      <w:iCs w:val="1"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FC693F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FC693F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FC693F"/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Caption">
    <w:name w:val="caption"/>
    <w:basedOn w:val="Normal"/>
    <w:next w:val="Normal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 w:val="1"/>
    <w:rsid w:val="00FC693F"/>
    <w:rPr>
      <w:b w:val="1"/>
      <w:bCs w:val="1"/>
    </w:rPr>
  </w:style>
  <w:style w:type="character" w:styleId="Emphasis">
    <w:name w:val="Emphasis"/>
    <w:basedOn w:val="DefaultParagraphFont"/>
    <w:uiPriority w:val="20"/>
    <w:qFormat w:val="1"/>
    <w:rsid w:val="00FC693F"/>
    <w:rPr>
      <w:i w:val="1"/>
      <w:iCs w:val="1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 w:val="1"/>
      <w:bCs w:val="1"/>
      <w:i w:val="1"/>
      <w:iCs w:val="1"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 w:val="1"/>
      <w:bCs w:val="1"/>
      <w:i w:val="1"/>
      <w:iCs w:val="1"/>
      <w:color w:val="4f81bd" w:themeColor="accent1"/>
    </w:rPr>
  </w:style>
  <w:style w:type="character" w:styleId="SubtleEmphasis">
    <w:name w:val="Subtle Emphasis"/>
    <w:basedOn w:val="DefaultParagraphFont"/>
    <w:uiPriority w:val="19"/>
    <w:qFormat w:val="1"/>
    <w:rsid w:val="00FC693F"/>
    <w:rPr>
      <w:i w:val="1"/>
      <w:iCs w:val="1"/>
      <w:color w:val="808080" w:themeColor="text1" w:themeTint="00007F"/>
    </w:rPr>
  </w:style>
  <w:style w:type="character" w:styleId="IntenseEmphasis">
    <w:name w:val="Intense Emphasis"/>
    <w:basedOn w:val="DefaultParagraphFont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SubtleReference">
    <w:name w:val="Subtle Reference"/>
    <w:basedOn w:val="DefaultParagraphFont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1"/>
    <w:rsid w:val="00FC693F"/>
    <w:rPr>
      <w:b w:val="1"/>
      <w:bCs w:val="1"/>
      <w:smallCaps w:val="1"/>
      <w:spacing w:val="5"/>
    </w:r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0000BF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0000BF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0000BF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0000BF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0000BF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0000BF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0000BF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0000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0000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0000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0000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04040" w:space="0" w:sz="8" w:themeColor="text1" w:themeTint="0000BF" w:val="sing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themeColor="text1" w:themeTint="0000BF" w:val="doub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ba0cd" w:space="0" w:sz="8" w:themeColor="accent1" w:themeTint="0000BF" w:val="sing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themeColor="accent1" w:themeTint="0000BF" w:val="doub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b3cc82" w:space="0" w:sz="8" w:themeColor="accent3" w:themeTint="0000BF" w:val="sing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themeColor="accent3" w:themeTint="0000BF" w:val="doub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9f8ab9" w:space="0" w:sz="8" w:themeColor="accent4" w:themeTint="0000BF" w:val="sing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themeColor="accent4" w:themeTint="0000BF" w:val="doub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8c0d4" w:space="0" w:sz="8" w:themeColor="accent5" w:themeTint="0000BF" w:val="sing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themeColor="accent5" w:themeTint="0000BF" w:val="doub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f9b074" w:space="0" w:sz="8" w:themeColor="accent6" w:themeTint="0000BF" w:val="sing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themeColor="accent6" w:themeTint="0000BF" w:val="doub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c0504d" w:space="0" w:sz="8" w:themeColor="accent2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shd w:color="auto" w:fill="efd3d2" w:themeFill="accent2" w:themeFillTint="00003F" w:val="clear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9bbb59" w:space="0" w:sz="8" w:themeColor="accent3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shd w:color="auto" w:fill="e6eed5" w:themeFill="accent3" w:themeFillTint="00003F" w:val="clear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8064a2" w:space="0" w:sz="8" w:themeColor="accent4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shd w:color="auto" w:fill="dfd8e8" w:themeFill="accent4" w:themeFillTint="00003F" w:val="clear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bacc6" w:space="0" w:sz="8" w:themeColor="accent5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shd w:color="auto" w:fill="d2eaf1" w:themeFill="accent5" w:themeFillTint="00003F" w:val="clear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f79646" w:space="0" w:sz="8" w:themeColor="accent6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shd w:color="auto" w:fill="fde4d0" w:themeFill="accent6" w:themeFillTint="00003F" w:val="clear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themeColor="accen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themeColor="accen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f81bd" w:space="0" w:sz="8" w:themeColor="accen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themeColor="accent2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c0504d" w:space="0" w:sz="8" w:themeColor="accent2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9bbb59" w:space="0" w:sz="8" w:themeColor="accent3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themeColor="accent4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8064a2" w:space="0" w:sz="8" w:themeColor="accent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themeColor="accent5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bacc6" w:space="0" w:sz="8" w:themeColor="accent5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themeColor="accent6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f79646" w:space="0" w:sz="8" w:themeColor="accent6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themeColor="tex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  <w:insideV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themeColor="accen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  <w:insideV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themeColor="accent2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  <w:insideV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themeColor="accent3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  <w:insideV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themeColor="accent4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  <w:insideV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themeColor="accent5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  <w:insideV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themeColor="accent6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2f8" w:themeFill="accen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themeFill="accent1" w:themeFillTint="000033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8eded" w:themeFill="accent2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themeFill="accent2" w:themeFillTint="000033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2eff6" w:themeFill="accent4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themeFill="accent4" w:themeFillTint="000033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6f9" w:themeFill="accent5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themeFill="accent5" w:themeFillTint="000033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808080" w:themeFill="tex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00007F" w:val="clear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7bfde" w:themeFill="accen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00007F" w:val="clear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dfa7a6" w:themeFill="accent2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00007F" w:val="clear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cdddac" w:themeFill="accent3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00007F" w:val="clear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bfb1d0" w:themeFill="accent4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00007F" w:val="clear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5d5e2" w:themeFill="accent5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00007F" w:val="clear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fbcaa2" w:themeFill="accent6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00007F" w:val="clear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504d" w:themeFill="accent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themeFill="accent2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9bbb59" w:themeFill="accent3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themeFill="accent3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8064a2" w:themeFill="accent4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themeFill="accent4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bacc6" w:themeFill="accent5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themeFill="accent5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79646" w:themeFill="accent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themeFill="accent6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themeColor="accent1" w:themeShade="000099" w:val="single"/>
          <w:insideV w:space="0" w:sz="0" w:val="nil"/>
        </w:tcBorders>
        <w:shd w:color="auto" w:fill="2c4c74" w:themeFill="accen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themeFill="accent1" w:themeFillShade="000099" w:val="clear"/>
      </w:tcPr>
    </w:tblStylePr>
    <w:tblStylePr w:type="band1Vert">
      <w:tblPr/>
      <w:tcPr>
        <w:shd w:color="auto" w:fill="b8cce4" w:themeFill="accent1" w:themeFillTint="000066" w:val="clear"/>
      </w:tcPr>
    </w:tblStylePr>
    <w:tblStylePr w:type="band1Horz">
      <w:tblPr/>
      <w:tcPr>
        <w:shd w:color="auto" w:fill="a7bfde" w:themeFill="accen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themeColor="accent2" w:themeShade="000099" w:val="single"/>
          <w:insideV w:space="0" w:sz="0" w:val="nil"/>
        </w:tcBorders>
        <w:shd w:color="auto" w:fill="772c2a" w:themeFill="accent2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themeFill="accent2" w:themeFillShade="000099" w:val="clear"/>
      </w:tcPr>
    </w:tblStylePr>
    <w:tblStylePr w:type="band1Vert">
      <w:tblPr/>
      <w:tcPr>
        <w:shd w:color="auto" w:fill="e5b8b7" w:themeFill="accent2" w:themeFillTint="000066" w:val="clear"/>
      </w:tcPr>
    </w:tblStylePr>
    <w:tblStylePr w:type="band1Horz">
      <w:tblPr/>
      <w:tcPr>
        <w:shd w:color="auto" w:fill="dfa7a6" w:themeFill="accent2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themeColor="accent3" w:themeShade="000099" w:val="single"/>
          <w:insideV w:space="0" w:sz="0" w:val="nil"/>
        </w:tcBorders>
        <w:shd w:color="auto" w:fill="5e7530" w:themeFill="accent3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themeFill="accent3" w:themeFillShade="000099" w:val="clear"/>
      </w:tcPr>
    </w:tblStylePr>
    <w:tblStylePr w:type="band1Vert">
      <w:tblPr/>
      <w:tcPr>
        <w:shd w:color="auto" w:fill="d6e3bc" w:themeFill="accent3" w:themeFillTint="000066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themeColor="accent4" w:themeShade="000099" w:val="single"/>
          <w:insideV w:space="0" w:sz="0" w:val="nil"/>
        </w:tcBorders>
        <w:shd w:color="auto" w:fill="4c3b62" w:themeFill="accent4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themeFill="accent4" w:themeFillShade="000099" w:val="clear"/>
      </w:tcPr>
    </w:tblStylePr>
    <w:tblStylePr w:type="band1Vert">
      <w:tblPr/>
      <w:tcPr>
        <w:shd w:color="auto" w:fill="ccc0d9" w:themeFill="accent4" w:themeFillTint="000066" w:val="clear"/>
      </w:tcPr>
    </w:tblStylePr>
    <w:tblStylePr w:type="band1Horz">
      <w:tblPr/>
      <w:tcPr>
        <w:shd w:color="auto" w:fill="bfb1d0" w:themeFill="accent4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themeColor="accent5" w:themeShade="000099" w:val="single"/>
          <w:insideV w:space="0" w:sz="0" w:val="nil"/>
        </w:tcBorders>
        <w:shd w:color="auto" w:fill="276a7c" w:themeFill="accent5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themeFill="accent5" w:themeFillShade="000099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a5d5e2" w:themeFill="accent5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themeColor="accent6" w:themeShade="000099" w:val="single"/>
          <w:insideV w:space="0" w:sz="0" w:val="nil"/>
        </w:tcBorders>
        <w:shd w:color="auto" w:fill="b65608" w:themeFill="accent6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themeFill="accent6" w:themeFillShade="000099" w:val="clear"/>
      </w:tcPr>
    </w:tblStylePr>
    <w:tblStylePr w:type="band1Vert">
      <w:tblPr/>
      <w:tcPr>
        <w:shd w:color="auto" w:fill="fbd4b4" w:themeFill="accent6" w:themeFillTint="000066" w:val="clear"/>
      </w:tcPr>
    </w:tblStylePr>
    <w:tblStylePr w:type="band1Horz">
      <w:tblPr/>
      <w:tcPr>
        <w:shd w:color="auto" w:fill="fbcaa2" w:themeFill="accent6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shd w:color="auto" w:fill="f2dbdb" w:themeFill="accent2" w:themeFillTint="000033" w:val="clear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0000CC" w:val="clear"/>
      </w:tcPr>
    </w:tblStylePr>
    <w:tblStylePr w:type="lastRow">
      <w:rPr>
        <w:b w:val="1"/>
        <w:bCs w:val="1"/>
        <w:color w:val="664e82" w:themeColor="accent4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shd w:color="auto" w:fill="eaf1dd" w:themeFill="accent3" w:themeFillTint="000033" w:val="clear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0000CC" w:val="clear"/>
      </w:tcPr>
    </w:tblStylePr>
    <w:tblStylePr w:type="lastRow">
      <w:rPr>
        <w:b w:val="1"/>
        <w:bCs w:val="1"/>
        <w:color w:val="7e9c40" w:themeColor="accent3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shd w:color="auto" w:fill="e5dfec" w:themeFill="accent4" w:themeFillTint="000033" w:val="clear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0000CC" w:val="clear"/>
      </w:tcPr>
    </w:tblStylePr>
    <w:tblStylePr w:type="lastRow">
      <w:rPr>
        <w:b w:val="1"/>
        <w:bCs w:val="1"/>
        <w:color w:val="f2730a" w:themeColor="accent6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0000CC" w:val="clear"/>
      </w:tcPr>
    </w:tblStylePr>
    <w:tblStylePr w:type="lastRow">
      <w:rPr>
        <w:b w:val="1"/>
        <w:bCs w:val="1"/>
        <w:color w:val="348da5" w:themeColor="accent5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shd w:color="auto" w:fill="fde9d9" w:themeFill="accent6" w:themeFillTint="000033" w:val="clear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ccccc" w:themeFill="text1" w:themeFillTint="000033" w:val="clear"/>
    </w:tcPr>
    <w:tblStylePr w:type="firstRow">
      <w:rPr>
        <w:b w:val="1"/>
        <w:bCs w:val="1"/>
      </w:rPr>
      <w:tblPr/>
      <w:tcPr>
        <w:shd w:color="auto" w:fill="999999" w:themeFill="tex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999999" w:themeFill="text1" w:themeFillTint="000066" w:val="clear"/>
      </w:tcPr>
    </w:tblStylePr>
    <w:tblStylePr w:type="fir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la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be5f1" w:themeFill="accent1" w:themeFillTint="000033" w:val="clear"/>
    </w:tcPr>
    <w:tblStylePr w:type="firstRow">
      <w:rPr>
        <w:b w:val="1"/>
        <w:bCs w:val="1"/>
      </w:rPr>
      <w:tblPr/>
      <w:tcPr>
        <w:shd w:color="auto" w:fill="b8cce4" w:themeFill="accen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8cce4" w:themeFill="accent1" w:themeFillTint="000066" w:val="clear"/>
      </w:tcPr>
    </w:tblStylePr>
    <w:tblStylePr w:type="fir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la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dbdb" w:themeFill="accent2" w:themeFillTint="000033" w:val="clear"/>
    </w:tcPr>
    <w:tblStylePr w:type="firstRow">
      <w:rPr>
        <w:b w:val="1"/>
        <w:bCs w:val="1"/>
      </w:rPr>
      <w:tblPr/>
      <w:tcPr>
        <w:shd w:color="auto" w:fill="e5b8b7" w:themeFill="accent2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e5b8b7" w:themeFill="accent2" w:themeFillTint="000066" w:val="clear"/>
      </w:tcPr>
    </w:tblStylePr>
    <w:tblStylePr w:type="fir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la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af1dd" w:themeFill="accent3" w:themeFillTint="000033" w:val="clear"/>
    </w:tcPr>
    <w:tblStylePr w:type="firstRow">
      <w:rPr>
        <w:b w:val="1"/>
        <w:bCs w:val="1"/>
      </w:rPr>
      <w:tblPr/>
      <w:tcPr>
        <w:shd w:color="auto" w:fill="d6e3bc" w:themeFill="accent3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d6e3bc" w:themeFill="accent3" w:themeFillTint="000066" w:val="clear"/>
      </w:tcPr>
    </w:tblStylePr>
    <w:tblStylePr w:type="fir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la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5dfec" w:themeFill="accent4" w:themeFillTint="000033" w:val="clear"/>
    </w:tcPr>
    <w:tblStylePr w:type="firstRow">
      <w:rPr>
        <w:b w:val="1"/>
        <w:bCs w:val="1"/>
      </w:rPr>
      <w:tblPr/>
      <w:tcPr>
        <w:shd w:color="auto" w:fill="ccc0d9" w:themeFill="accent4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ccc0d9" w:themeFill="accent4" w:themeFillTint="000066" w:val="clear"/>
      </w:tcPr>
    </w:tblStylePr>
    <w:tblStylePr w:type="fir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la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aeef3" w:themeFill="accent5" w:themeFillTint="000033" w:val="clear"/>
    </w:tcPr>
    <w:tblStylePr w:type="firstRow">
      <w:rPr>
        <w:b w:val="1"/>
        <w:bCs w:val="1"/>
      </w:rPr>
      <w:tblPr/>
      <w:tcPr>
        <w:shd w:color="auto" w:fill="b6dde8" w:themeFill="accent5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6dde8" w:themeFill="accent5" w:themeFillTint="000066" w:val="clear"/>
      </w:tcPr>
    </w:tblStylePr>
    <w:tblStylePr w:type="fir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la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color w:val="4f81bd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Smoh0ye9WLhNNyyZfL3Xa//9tQ==">CgMxLjA4AHIhMWFRaUJiMDNUOWVNVHJMWk0xenZSSnpBX24tOVdidjlO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</cp:coreProperties>
</file>